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sz w:val="21"/>
        </w:rPr>
        <w:t>PROOF &amp; PROGRESS TUTORING</w:t>
      </w:r>
    </w:p>
    <w:p>
      <w:pPr>
        <w:pStyle w:val="Title"/>
        <w:spacing w:after="40" w:before="0"/>
        <w:jc w:val="center"/>
      </w:pPr>
      <w:r>
        <w:t>Math &amp; Science Tutoring for Organizations</w:t>
      </w:r>
    </w:p>
    <w:p>
      <w:pPr>
        <w:spacing w:after="40" w:before="0"/>
        <w:jc w:val="center"/>
      </w:pPr>
      <w:r>
        <w:rPr>
          <w:i/>
          <w:sz w:val="21"/>
        </w:rPr>
        <w:t>Academic support for schools, libraries, youth programs, and community partners</w:t>
      </w:r>
    </w:p>
    <w:p>
      <w:pPr>
        <w:spacing w:after="40" w:before="0"/>
        <w:jc w:val="center"/>
      </w:pPr>
      <w:r>
        <w:rPr>
          <w:b/>
          <w:sz w:val="20"/>
        </w:rPr>
        <w:t>Academic foundations. Practical application. Measurable progress.</w:t>
      </w:r>
    </w:p>
    <w:p>
      <w:pPr>
        <w:spacing w:after="40" w:before="0"/>
        <w:jc w:val="center"/>
      </w:pPr>
      <w:r>
        <w:rPr>
          <w:i/>
        </w:rPr>
        <w:t>pptutoring.com</w:t>
      </w:r>
    </w:p>
    <w:p>
      <w:pPr>
        <w:spacing w:after="40" w:before="0"/>
      </w:pPr>
    </w:p>
    <w:p>
      <w:pPr>
        <w:spacing w:after="40" w:before="0"/>
      </w:pPr>
      <w:r>
        <w:rPr>
          <w:i w:val="0"/>
        </w:rPr>
        <w:t>Proof &amp; Progress Tutoring provides customized math and science tutoring programs that organizations can offer directly to the students they serve. Programs can support intervention, homework help, academic reinforcement, enrichment, summer learning, or recurring after-school instruction.</w:t>
      </w:r>
    </w:p>
    <w:p>
      <w:pPr>
        <w:pStyle w:val="Heading2"/>
        <w:spacing w:after="40" w:before="0"/>
      </w:pPr>
      <w:r>
        <w:t>Who We Serve</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EAE3D7"/>
            <w:vAlign w:val="center"/>
            <w:tcMar>
              <w:top w:w="90" w:type="dxa"/>
              <w:start w:w="90" w:type="dxa"/>
              <w:bottom w:w="90" w:type="dxa"/>
              <w:end w:w="90" w:type="dxa"/>
            </w:tcMar>
          </w:tcPr>
          <w:p>
            <w:pPr>
              <w:spacing w:after="0"/>
            </w:pPr>
            <w:r>
              <w:rPr>
                <w:b/>
                <w:sz w:val="16"/>
              </w:rPr>
              <w:t>Partner Organizations</w:t>
            </w:r>
          </w:p>
        </w:tc>
        <w:tc>
          <w:tcPr>
            <w:tcW w:type="dxa" w:w="5083"/>
            <w:shd w:fill="EAE3D7"/>
            <w:vAlign w:val="center"/>
            <w:tcMar>
              <w:top w:w="90" w:type="dxa"/>
              <w:start w:w="90" w:type="dxa"/>
              <w:bottom w:w="90" w:type="dxa"/>
              <w:end w:w="90" w:type="dxa"/>
            </w:tcMar>
          </w:tcPr>
          <w:p>
            <w:pPr>
              <w:spacing w:after="0"/>
            </w:pPr>
            <w:r>
              <w:rPr>
                <w:b/>
                <w:sz w:val="16"/>
              </w:rPr>
              <w:t>Student Support</w:t>
            </w:r>
          </w:p>
        </w:tc>
      </w:tr>
      <w:tr>
        <w:tc>
          <w:tcPr>
            <w:tcW w:type="dxa" w:w="5083"/>
            <w:vAlign w:val="top"/>
            <w:tcMar>
              <w:top w:w="90" w:type="dxa"/>
              <w:start w:w="90" w:type="dxa"/>
              <w:bottom w:w="90" w:type="dxa"/>
              <w:end w:w="90" w:type="dxa"/>
            </w:tcMar>
          </w:tcPr>
          <w:p>
            <w:pPr>
              <w:spacing w:after="0"/>
            </w:pPr>
            <w:r>
              <w:rPr>
                <w:sz w:val="16"/>
              </w:rPr>
              <w:t>Schools &amp; school programs</w:t>
            </w:r>
          </w:p>
        </w:tc>
        <w:tc>
          <w:tcPr>
            <w:tcW w:type="dxa" w:w="5083"/>
            <w:vAlign w:val="top"/>
            <w:tcMar>
              <w:top w:w="90" w:type="dxa"/>
              <w:start w:w="90" w:type="dxa"/>
              <w:bottom w:w="90" w:type="dxa"/>
              <w:end w:w="90" w:type="dxa"/>
            </w:tcMar>
          </w:tcPr>
          <w:p>
            <w:pPr>
              <w:spacing w:after="0"/>
            </w:pPr>
            <w:r>
              <w:rPr>
                <w:sz w:val="16"/>
              </w:rPr>
              <w:t>Individual or small-group tutoring</w:t>
            </w:r>
          </w:p>
        </w:tc>
      </w:tr>
      <w:tr>
        <w:tc>
          <w:tcPr>
            <w:tcW w:type="dxa" w:w="5083"/>
            <w:vAlign w:val="top"/>
            <w:tcMar>
              <w:top w:w="90" w:type="dxa"/>
              <w:start w:w="90" w:type="dxa"/>
              <w:bottom w:w="90" w:type="dxa"/>
              <w:end w:w="90" w:type="dxa"/>
            </w:tcMar>
          </w:tcPr>
          <w:p>
            <w:pPr>
              <w:spacing w:after="0"/>
            </w:pPr>
            <w:r>
              <w:rPr>
                <w:sz w:val="16"/>
              </w:rPr>
              <w:t>Libraries &amp; community centers</w:t>
            </w:r>
          </w:p>
        </w:tc>
        <w:tc>
          <w:tcPr>
            <w:tcW w:type="dxa" w:w="5083"/>
            <w:vAlign w:val="top"/>
            <w:tcMar>
              <w:top w:w="90" w:type="dxa"/>
              <w:start w:w="90" w:type="dxa"/>
              <w:bottom w:w="90" w:type="dxa"/>
              <w:end w:w="90" w:type="dxa"/>
            </w:tcMar>
          </w:tcPr>
          <w:p>
            <w:pPr>
              <w:spacing w:after="0"/>
            </w:pPr>
            <w:r>
              <w:rPr>
                <w:sz w:val="16"/>
              </w:rPr>
              <w:t>Homework help and skill reinforcement</w:t>
            </w:r>
          </w:p>
        </w:tc>
      </w:tr>
      <w:tr>
        <w:tc>
          <w:tcPr>
            <w:tcW w:type="dxa" w:w="5083"/>
            <w:vAlign w:val="top"/>
            <w:tcMar>
              <w:top w:w="90" w:type="dxa"/>
              <w:start w:w="90" w:type="dxa"/>
              <w:bottom w:w="90" w:type="dxa"/>
              <w:end w:w="90" w:type="dxa"/>
            </w:tcMar>
          </w:tcPr>
          <w:p>
            <w:pPr>
              <w:spacing w:after="0"/>
            </w:pPr>
            <w:r>
              <w:rPr>
                <w:sz w:val="16"/>
              </w:rPr>
              <w:t>Youth &amp; after-school organizations</w:t>
            </w:r>
          </w:p>
        </w:tc>
        <w:tc>
          <w:tcPr>
            <w:tcW w:type="dxa" w:w="5083"/>
            <w:vAlign w:val="top"/>
            <w:tcMar>
              <w:top w:w="90" w:type="dxa"/>
              <w:start w:w="90" w:type="dxa"/>
              <w:bottom w:w="90" w:type="dxa"/>
              <w:end w:w="90" w:type="dxa"/>
            </w:tcMar>
          </w:tcPr>
          <w:p>
            <w:pPr>
              <w:spacing w:after="0"/>
            </w:pPr>
            <w:r>
              <w:rPr>
                <w:sz w:val="16"/>
              </w:rPr>
              <w:t>Recurring academic support</w:t>
            </w:r>
          </w:p>
        </w:tc>
      </w:tr>
      <w:tr>
        <w:tc>
          <w:tcPr>
            <w:tcW w:type="dxa" w:w="5083"/>
            <w:vAlign w:val="top"/>
            <w:tcMar>
              <w:top w:w="90" w:type="dxa"/>
              <w:start w:w="90" w:type="dxa"/>
              <w:bottom w:w="90" w:type="dxa"/>
              <w:end w:w="90" w:type="dxa"/>
            </w:tcMar>
          </w:tcPr>
          <w:p>
            <w:pPr>
              <w:spacing w:after="0"/>
            </w:pPr>
            <w:r>
              <w:rPr>
                <w:sz w:val="16"/>
              </w:rPr>
              <w:t>Summer &amp; enrichment programs</w:t>
            </w:r>
          </w:p>
        </w:tc>
        <w:tc>
          <w:tcPr>
            <w:tcW w:type="dxa" w:w="5083"/>
            <w:vAlign w:val="top"/>
            <w:tcMar>
              <w:top w:w="90" w:type="dxa"/>
              <w:start w:w="90" w:type="dxa"/>
              <w:bottom w:w="90" w:type="dxa"/>
              <w:end w:w="90" w:type="dxa"/>
            </w:tcMar>
          </w:tcPr>
          <w:p>
            <w:pPr>
              <w:spacing w:after="0"/>
            </w:pPr>
            <w:r>
              <w:rPr>
                <w:sz w:val="16"/>
              </w:rPr>
              <w:t>Math/science learning and enrichment</w:t>
            </w:r>
          </w:p>
        </w:tc>
      </w:tr>
    </w:tbl>
    <w:p>
      <w:pPr>
        <w:pStyle w:val="Heading2"/>
        <w:spacing w:after="40" w:before="0"/>
      </w:pPr>
      <w:r>
        <w:t>Program Options</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EAE3D7"/>
            <w:vAlign w:val="center"/>
            <w:tcMar>
              <w:top w:w="90" w:type="dxa"/>
              <w:start w:w="90" w:type="dxa"/>
              <w:bottom w:w="90" w:type="dxa"/>
              <w:end w:w="90" w:type="dxa"/>
            </w:tcMar>
          </w:tcPr>
          <w:p>
            <w:pPr>
              <w:spacing w:after="0"/>
            </w:pPr>
            <w:r>
              <w:rPr>
                <w:b/>
                <w:sz w:val="16"/>
              </w:rPr>
              <w:t>Format</w:t>
            </w:r>
          </w:p>
        </w:tc>
        <w:tc>
          <w:tcPr>
            <w:tcW w:type="dxa" w:w="5083"/>
            <w:shd w:fill="EAE3D7"/>
            <w:vAlign w:val="center"/>
            <w:tcMar>
              <w:top w:w="90" w:type="dxa"/>
              <w:start w:w="90" w:type="dxa"/>
              <w:bottom w:w="90" w:type="dxa"/>
              <w:end w:w="90" w:type="dxa"/>
            </w:tcMar>
          </w:tcPr>
          <w:p>
            <w:pPr>
              <w:spacing w:after="0"/>
            </w:pPr>
            <w:r>
              <w:rPr>
                <w:b/>
                <w:sz w:val="16"/>
              </w:rPr>
              <w:t>Best For</w:t>
            </w:r>
          </w:p>
        </w:tc>
      </w:tr>
      <w:tr>
        <w:tc>
          <w:tcPr>
            <w:tcW w:type="dxa" w:w="5083"/>
            <w:vAlign w:val="top"/>
            <w:tcMar>
              <w:top w:w="90" w:type="dxa"/>
              <w:start w:w="90" w:type="dxa"/>
              <w:bottom w:w="90" w:type="dxa"/>
              <w:end w:w="90" w:type="dxa"/>
            </w:tcMar>
          </w:tcPr>
          <w:p>
            <w:pPr>
              <w:spacing w:after="0"/>
            </w:pPr>
            <w:r>
              <w:rPr>
                <w:sz w:val="16"/>
              </w:rPr>
              <w:t>Individual tutoring</w:t>
            </w:r>
          </w:p>
        </w:tc>
        <w:tc>
          <w:tcPr>
            <w:tcW w:type="dxa" w:w="5083"/>
            <w:vAlign w:val="top"/>
            <w:tcMar>
              <w:top w:w="90" w:type="dxa"/>
              <w:start w:w="90" w:type="dxa"/>
              <w:bottom w:w="90" w:type="dxa"/>
              <w:end w:w="90" w:type="dxa"/>
            </w:tcMar>
          </w:tcPr>
          <w:p>
            <w:pPr>
              <w:spacing w:after="0"/>
            </w:pPr>
            <w:r>
              <w:rPr>
                <w:sz w:val="16"/>
              </w:rPr>
              <w:t>Targeted student-specific support</w:t>
            </w:r>
          </w:p>
        </w:tc>
      </w:tr>
      <w:tr>
        <w:tc>
          <w:tcPr>
            <w:tcW w:type="dxa" w:w="5083"/>
            <w:vAlign w:val="top"/>
            <w:tcMar>
              <w:top w:w="90" w:type="dxa"/>
              <w:start w:w="90" w:type="dxa"/>
              <w:bottom w:w="90" w:type="dxa"/>
              <w:end w:w="90" w:type="dxa"/>
            </w:tcMar>
          </w:tcPr>
          <w:p>
            <w:pPr>
              <w:spacing w:after="0"/>
            </w:pPr>
            <w:r>
              <w:rPr>
                <w:sz w:val="16"/>
              </w:rPr>
              <w:t>Small-group tutoring</w:t>
            </w:r>
          </w:p>
        </w:tc>
        <w:tc>
          <w:tcPr>
            <w:tcW w:type="dxa" w:w="5083"/>
            <w:vAlign w:val="top"/>
            <w:tcMar>
              <w:top w:w="90" w:type="dxa"/>
              <w:start w:w="90" w:type="dxa"/>
              <w:bottom w:w="90" w:type="dxa"/>
              <w:end w:w="90" w:type="dxa"/>
            </w:tcMar>
          </w:tcPr>
          <w:p>
            <w:pPr>
              <w:spacing w:after="0"/>
            </w:pPr>
            <w:r>
              <w:rPr>
                <w:sz w:val="16"/>
              </w:rPr>
              <w:t>Efficient support for students with similar needs</w:t>
            </w:r>
          </w:p>
        </w:tc>
      </w:tr>
      <w:tr>
        <w:tc>
          <w:tcPr>
            <w:tcW w:type="dxa" w:w="5083"/>
            <w:vAlign w:val="top"/>
            <w:tcMar>
              <w:top w:w="90" w:type="dxa"/>
              <w:start w:w="90" w:type="dxa"/>
              <w:bottom w:w="90" w:type="dxa"/>
              <w:end w:w="90" w:type="dxa"/>
            </w:tcMar>
          </w:tcPr>
          <w:p>
            <w:pPr>
              <w:spacing w:after="0"/>
            </w:pPr>
            <w:r>
              <w:rPr>
                <w:sz w:val="16"/>
              </w:rPr>
              <w:t>Weekly tutoring program</w:t>
            </w:r>
          </w:p>
        </w:tc>
        <w:tc>
          <w:tcPr>
            <w:tcW w:type="dxa" w:w="5083"/>
            <w:vAlign w:val="top"/>
            <w:tcMar>
              <w:top w:w="90" w:type="dxa"/>
              <w:start w:w="90" w:type="dxa"/>
              <w:bottom w:w="90" w:type="dxa"/>
              <w:end w:w="90" w:type="dxa"/>
            </w:tcMar>
          </w:tcPr>
          <w:p>
            <w:pPr>
              <w:spacing w:after="0"/>
            </w:pPr>
            <w:r>
              <w:rPr>
                <w:sz w:val="16"/>
              </w:rPr>
              <w:t>Consistent reinforcement across a term</w:t>
            </w:r>
          </w:p>
        </w:tc>
      </w:tr>
      <w:tr>
        <w:tc>
          <w:tcPr>
            <w:tcW w:type="dxa" w:w="5083"/>
            <w:vAlign w:val="top"/>
            <w:tcMar>
              <w:top w:w="90" w:type="dxa"/>
              <w:start w:w="90" w:type="dxa"/>
              <w:bottom w:w="90" w:type="dxa"/>
              <w:end w:w="90" w:type="dxa"/>
            </w:tcMar>
          </w:tcPr>
          <w:p>
            <w:pPr>
              <w:spacing w:after="0"/>
            </w:pPr>
            <w:r>
              <w:rPr>
                <w:sz w:val="16"/>
              </w:rPr>
              <w:t>Short-term intervention</w:t>
            </w:r>
          </w:p>
        </w:tc>
        <w:tc>
          <w:tcPr>
            <w:tcW w:type="dxa" w:w="5083"/>
            <w:vAlign w:val="top"/>
            <w:tcMar>
              <w:top w:w="90" w:type="dxa"/>
              <w:start w:w="90" w:type="dxa"/>
              <w:bottom w:w="90" w:type="dxa"/>
              <w:end w:w="90" w:type="dxa"/>
            </w:tcMar>
          </w:tcPr>
          <w:p>
            <w:pPr>
              <w:spacing w:after="0"/>
            </w:pPr>
            <w:r>
              <w:rPr>
                <w:sz w:val="16"/>
              </w:rPr>
              <w:t>Focused support around priority skills</w:t>
            </w:r>
          </w:p>
        </w:tc>
      </w:tr>
      <w:tr>
        <w:tc>
          <w:tcPr>
            <w:tcW w:type="dxa" w:w="5083"/>
            <w:vAlign w:val="top"/>
            <w:tcMar>
              <w:top w:w="90" w:type="dxa"/>
              <w:start w:w="90" w:type="dxa"/>
              <w:bottom w:w="90" w:type="dxa"/>
              <w:end w:w="90" w:type="dxa"/>
            </w:tcMar>
          </w:tcPr>
          <w:p>
            <w:pPr>
              <w:spacing w:after="0"/>
            </w:pPr>
            <w:r>
              <w:rPr>
                <w:sz w:val="16"/>
              </w:rPr>
              <w:t>Summer learning</w:t>
            </w:r>
          </w:p>
        </w:tc>
        <w:tc>
          <w:tcPr>
            <w:tcW w:type="dxa" w:w="5083"/>
            <w:vAlign w:val="top"/>
            <w:tcMar>
              <w:top w:w="90" w:type="dxa"/>
              <w:start w:w="90" w:type="dxa"/>
              <w:bottom w:w="90" w:type="dxa"/>
              <w:end w:w="90" w:type="dxa"/>
            </w:tcMar>
          </w:tcPr>
          <w:p>
            <w:pPr>
              <w:spacing w:after="0"/>
            </w:pPr>
            <w:r>
              <w:rPr>
                <w:sz w:val="16"/>
              </w:rPr>
              <w:t>Maintaining and strengthening academic foundations</w:t>
            </w:r>
          </w:p>
        </w:tc>
      </w:tr>
      <w:tr>
        <w:tc>
          <w:tcPr>
            <w:tcW w:type="dxa" w:w="5083"/>
            <w:vAlign w:val="top"/>
            <w:tcMar>
              <w:top w:w="90" w:type="dxa"/>
              <w:start w:w="90" w:type="dxa"/>
              <w:bottom w:w="90" w:type="dxa"/>
              <w:end w:w="90" w:type="dxa"/>
            </w:tcMar>
          </w:tcPr>
          <w:p>
            <w:pPr>
              <w:spacing w:after="0"/>
            </w:pPr>
            <w:r>
              <w:rPr>
                <w:sz w:val="16"/>
              </w:rPr>
              <w:t>Math &amp; science enrichment</w:t>
            </w:r>
          </w:p>
        </w:tc>
        <w:tc>
          <w:tcPr>
            <w:tcW w:type="dxa" w:w="5083"/>
            <w:vAlign w:val="top"/>
            <w:tcMar>
              <w:top w:w="90" w:type="dxa"/>
              <w:start w:w="90" w:type="dxa"/>
              <w:bottom w:w="90" w:type="dxa"/>
              <w:end w:w="90" w:type="dxa"/>
            </w:tcMar>
          </w:tcPr>
          <w:p>
            <w:pPr>
              <w:spacing w:after="0"/>
            </w:pPr>
            <w:r>
              <w:rPr>
                <w:sz w:val="16"/>
              </w:rPr>
              <w:t>Reasoning, application, and deeper understanding</w:t>
            </w:r>
          </w:p>
        </w:tc>
      </w:tr>
    </w:tbl>
    <w:p>
      <w:pPr>
        <w:pStyle w:val="Heading2"/>
        <w:spacing w:after="40" w:before="0"/>
      </w:pPr>
      <w:r>
        <w:t>What Partners Can Expect</w:t>
      </w:r>
    </w:p>
    <w:p>
      <w:pPr>
        <w:pStyle w:val="ListBullet"/>
        <w:spacing w:after="0" w:before="0"/>
      </w:pPr>
      <w:r>
        <w:t>Clear instructional goals based on student and partner needs.</w:t>
      </w:r>
    </w:p>
    <w:p>
      <w:pPr>
        <w:pStyle w:val="ListBullet"/>
        <w:spacing w:after="0" w:before="0"/>
      </w:pPr>
      <w:r>
        <w:t>Tutoring that emphasizes explanation, guided practice, problem solving, and application.</w:t>
      </w:r>
    </w:p>
    <w:p>
      <w:pPr>
        <w:pStyle w:val="ListBullet"/>
        <w:spacing w:after="0" w:before="0"/>
      </w:pPr>
      <w:r>
        <w:t>Flexible program structures based on grade level, group size, schedule, and location.</w:t>
      </w:r>
    </w:p>
    <w:p>
      <w:pPr>
        <w:pStyle w:val="ListBullet"/>
        <w:spacing w:after="0" w:before="0"/>
      </w:pPr>
      <w:r>
        <w:t>Attendance and progress information at the level agreed in the scope.</w:t>
      </w:r>
    </w:p>
    <w:p>
      <w:pPr>
        <w:pStyle w:val="ListBullet"/>
        <w:spacing w:after="0" w:before="0"/>
      </w:pPr>
      <w:r>
        <w:t>Professional coordination with the organization’s designated point of contact.</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5083"/>
            <w:shd w:fill="EAE3D7"/>
            <w:vAlign w:val="center"/>
            <w:tcMar>
              <w:top w:w="90" w:type="dxa"/>
              <w:start w:w="90" w:type="dxa"/>
              <w:bottom w:w="90" w:type="dxa"/>
              <w:end w:w="90" w:type="dxa"/>
            </w:tcMar>
          </w:tcPr>
          <w:p>
            <w:pPr>
              <w:spacing w:after="0"/>
            </w:pPr>
            <w:r>
              <w:rPr>
                <w:b/>
                <w:sz w:val="16"/>
              </w:rPr>
              <w:t>BUILD A PROGRAM AROUND YOUR STUDENTS</w:t>
            </w:r>
          </w:p>
        </w:tc>
        <w:tc>
          <w:tcPr>
            <w:tcW w:type="dxa" w:w="5083"/>
            <w:shd w:fill="EAE3D7"/>
            <w:vAlign w:val="center"/>
            <w:tcMar>
              <w:top w:w="90" w:type="dxa"/>
              <w:start w:w="90" w:type="dxa"/>
              <w:bottom w:w="90" w:type="dxa"/>
              <w:end w:w="90" w:type="dxa"/>
            </w:tcMar>
          </w:tcPr>
          <w:p>
            <w:pPr>
              <w:spacing w:after="0"/>
            </w:pPr>
            <w:r>
              <w:rPr>
                <w:b/>
                <w:sz w:val="16"/>
              </w:rPr>
              <w:t>DETAILS</w:t>
            </w:r>
          </w:p>
        </w:tc>
      </w:tr>
      <w:tr>
        <w:tc>
          <w:tcPr>
            <w:tcW w:type="dxa" w:w="5083"/>
            <w:vAlign w:val="top"/>
            <w:tcMar>
              <w:top w:w="90" w:type="dxa"/>
              <w:start w:w="90" w:type="dxa"/>
              <w:bottom w:w="90" w:type="dxa"/>
              <w:end w:w="90" w:type="dxa"/>
            </w:tcMar>
          </w:tcPr>
          <w:p>
            <w:pPr>
              <w:spacing w:after="0"/>
            </w:pPr>
            <w:r>
              <w:rPr>
                <w:sz w:val="16"/>
              </w:rPr>
              <w:t>Customize by</w:t>
            </w:r>
          </w:p>
        </w:tc>
        <w:tc>
          <w:tcPr>
            <w:tcW w:type="dxa" w:w="5083"/>
            <w:vAlign w:val="top"/>
            <w:tcMar>
              <w:top w:w="90" w:type="dxa"/>
              <w:start w:w="90" w:type="dxa"/>
              <w:bottom w:w="90" w:type="dxa"/>
              <w:end w:w="90" w:type="dxa"/>
            </w:tcMar>
          </w:tcPr>
          <w:p>
            <w:pPr>
              <w:spacing w:after="0"/>
            </w:pPr>
            <w:r>
              <w:rPr>
                <w:sz w:val="16"/>
              </w:rPr>
              <w:t>Grade level • Math/science focus • Number of students • Session length • Frequency • Program term • In-person/virtual delivery • Reporting needs</w:t>
            </w:r>
          </w:p>
        </w:tc>
      </w:tr>
      <w:tr>
        <w:tc>
          <w:tcPr>
            <w:tcW w:type="dxa" w:w="5083"/>
            <w:vAlign w:val="top"/>
            <w:tcMar>
              <w:top w:w="90" w:type="dxa"/>
              <w:start w:w="90" w:type="dxa"/>
              <w:bottom w:w="90" w:type="dxa"/>
              <w:end w:w="90" w:type="dxa"/>
            </w:tcMar>
          </w:tcPr>
          <w:p>
            <w:pPr>
              <w:spacing w:after="0"/>
            </w:pPr>
            <w:r>
              <w:rPr>
                <w:sz w:val="16"/>
              </w:rPr>
              <w:t>Next step</w:t>
            </w:r>
          </w:p>
        </w:tc>
        <w:tc>
          <w:tcPr>
            <w:tcW w:type="dxa" w:w="5083"/>
            <w:vAlign w:val="top"/>
            <w:tcMar>
              <w:top w:w="90" w:type="dxa"/>
              <w:start w:w="90" w:type="dxa"/>
              <w:bottom w:w="90" w:type="dxa"/>
              <w:end w:w="90" w:type="dxa"/>
            </w:tcMar>
          </w:tcPr>
          <w:p>
            <w:pPr>
              <w:spacing w:after="0"/>
            </w:pPr>
            <w:r>
              <w:rPr>
                <w:sz w:val="16"/>
              </w:rPr>
              <w:t>Request a customized program proposal or schedule a discovery conversation.</w:t>
            </w:r>
          </w:p>
        </w:tc>
      </w:tr>
    </w:tbl>
    <w:p>
      <w:pPr>
        <w:spacing w:after="40" w:before="0"/>
        <w:jc w:val="center"/>
      </w:pPr>
      <w:r>
        <w:rPr>
          <w:b/>
          <w:sz w:val="22"/>
        </w:rPr>
        <w:t>Proof &amp; Progress Tutoring  |  pptutoring.com</w:t>
      </w:r>
    </w:p>
    <w:p>
      <w:pPr>
        <w:spacing w:after="40" w:before="0"/>
        <w:jc w:val="center"/>
      </w:pPr>
      <w:r>
        <w:rPr>
          <w:i/>
        </w:rPr>
        <w:t>For-profit education provider • Customized institutional programming</w:t>
      </w:r>
    </w:p>
    <w:sectPr w:rsidR="00FC693F" w:rsidRPr="0006063C" w:rsidSect="00034616">
      <w:footerReference w:type="default" r:id="rId9"/>
      <w:pgSz w:w="12240" w:h="15840"/>
      <w:pgMar w:top="605" w:right="792" w:bottom="605"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Proof &amp; Progress Tutoring | Math &amp; Science Tutoring Program Sheet | pptutoring.com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